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/>
          <w:i w:val="0"/>
          <w:sz w:val="24"/>
        </w:rPr>
        <w:t>УТВЕРЖДАЮ</w:t>
      </w:r>
    </w:p>
    <w:p>
      <w:pPr>
        <w:jc w:val="right"/>
      </w:pPr>
      <w:r>
        <w:rPr>
          <w:rFonts w:ascii="Times New Roman" w:hAnsi="Times New Roman"/>
          <w:b w:val="0"/>
          <w:i w:val="0"/>
          <w:sz w:val="24"/>
        </w:rPr>
        <w:t>Генеральный директор</w:t>
      </w:r>
    </w:p>
    <w:p>
      <w:pPr>
        <w:jc w:val="right"/>
      </w:pPr>
      <w:r>
        <w:rPr>
          <w:rFonts w:ascii="Times New Roman" w:hAnsi="Times New Roman"/>
          <w:b w:val="0"/>
          <w:i w:val="0"/>
          <w:sz w:val="24"/>
        </w:rPr>
        <w:t>_________________________ / _________________ /</w:t>
      </w:r>
    </w:p>
    <w:p>
      <w:pPr>
        <w:jc w:val="right"/>
      </w:pPr>
      <w:r>
        <w:rPr>
          <w:rFonts w:ascii="Times New Roman" w:hAnsi="Times New Roman"/>
          <w:b w:val="0"/>
          <w:i w:val="0"/>
          <w:sz w:val="24"/>
        </w:rPr>
        <w:t>«___» _____________ 2025 г.</w:t>
      </w:r>
    </w:p>
    <w:p/>
    <w:p>
      <w:pPr>
        <w:pStyle w:val="Title"/>
        <w:jc w:val="center"/>
      </w:pPr>
      <w:r>
        <w:t>ПРИКАЗ № ___</w:t>
      </w:r>
    </w:p>
    <w:p>
      <w:pPr>
        <w:pStyle w:val="Title"/>
        <w:jc w:val="center"/>
      </w:pPr>
      <w:r>
        <w:t>об утверждении учётной политики</w:t>
      </w:r>
    </w:p>
    <w:p>
      <w:pPr>
        <w:pStyle w:val="Title"/>
        <w:jc w:val="center"/>
      </w:pPr>
      <w:r>
        <w:t>для целей бухгалтерского учёта и налогообложения</w:t>
      </w:r>
    </w:p>
    <w:p>
      <w:pPr>
        <w:pStyle w:val="Title"/>
        <w:jc w:val="center"/>
      </w:pPr>
      <w:r>
        <w:t>на 2026 год</w:t>
      </w:r>
    </w:p>
    <w:p/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г. _______________                                                                        «___» декабря 2025 г.</w:t>
      </w:r>
    </w:p>
    <w:p/>
    <w:p>
      <w:pPr>
        <w:jc w:val="both"/>
      </w:pPr>
      <w:r>
        <w:rPr>
          <w:rFonts w:ascii="Times New Roman" w:hAnsi="Times New Roman"/>
          <w:b w:val="0"/>
          <w:i w:val="0"/>
          <w:sz w:val="24"/>
        </w:rPr>
        <w:t>В соответствии с Федеральным законом от 06.12.2011 № 402-ФЗ «О бухгалтерском учёте», ПБУ 1/2008 «Учётная политика организации» (приказ Минфина России от 06.10.2008 № 106н), частью второй Налогового кодекса Российской Федерации,</w:t>
      </w:r>
    </w:p>
    <w:p/>
    <w:p>
      <w:pPr>
        <w:jc w:val="center"/>
      </w:pPr>
      <w:r>
        <w:rPr>
          <w:rFonts w:ascii="Times New Roman" w:hAnsi="Times New Roman"/>
          <w:b/>
          <w:i w:val="0"/>
          <w:sz w:val="24"/>
        </w:rPr>
        <w:t>ПРИКАЗЫВАЮ:</w:t>
      </w:r>
    </w:p>
    <w:p/>
    <w:p>
      <w:pPr>
        <w:pStyle w:val="ListNumber"/>
        <w:jc w:val="both"/>
      </w:pPr>
      <w:r>
        <w:rPr>
          <w:rFonts w:ascii="Times New Roman" w:hAnsi="Times New Roman"/>
          <w:sz w:val="24"/>
        </w:rPr>
        <w:t>Утвердить Учётную политику ООО «___________________» для целей бухгалтерского учёта на 2026 год согласно Приложению № 1 к настоящему приказу.</w:t>
      </w:r>
    </w:p>
    <w:p>
      <w:pPr>
        <w:pStyle w:val="ListNumber"/>
        <w:jc w:val="both"/>
      </w:pPr>
      <w:r>
        <w:rPr>
          <w:rFonts w:ascii="Times New Roman" w:hAnsi="Times New Roman"/>
          <w:sz w:val="24"/>
        </w:rPr>
        <w:t>Утвердить Учётную политику ООО «___________________» для целей налогообложения на 2026 год согласно Приложению № 2 к настоящему приказу.</w:t>
      </w:r>
    </w:p>
    <w:p>
      <w:pPr>
        <w:pStyle w:val="ListNumber"/>
        <w:jc w:val="both"/>
      </w:pPr>
      <w:r>
        <w:rPr>
          <w:rFonts w:ascii="Times New Roman" w:hAnsi="Times New Roman"/>
          <w:sz w:val="24"/>
        </w:rPr>
        <w:t>Ответственность за соблюдение учётной политики возложить на главного бухгалтера организации.</w:t>
      </w:r>
    </w:p>
    <w:p>
      <w:pPr>
        <w:pStyle w:val="ListNumber"/>
        <w:jc w:val="both"/>
      </w:pPr>
      <w:r>
        <w:rPr>
          <w:rFonts w:ascii="Times New Roman" w:hAnsi="Times New Roman"/>
          <w:sz w:val="24"/>
        </w:rPr>
        <w:t>Настоящий приказ вступает в силу с 1 января 2026 года.</w:t>
      </w:r>
    </w:p>
    <w:p/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Генеральный директор  _________________________ / _________________ /</w:t>
      </w:r>
    </w:p>
    <w:p/>
    <w:p>
      <w:r>
        <w:br w:type="page"/>
      </w:r>
    </w:p>
    <w:p>
      <w:pPr>
        <w:jc w:val="right"/>
      </w:pPr>
      <w:r>
        <w:rPr>
          <w:rFonts w:ascii="Times New Roman" w:hAnsi="Times New Roman"/>
          <w:b/>
          <w:i w:val="0"/>
          <w:sz w:val="24"/>
        </w:rPr>
        <w:t>Приложение № 1</w:t>
      </w:r>
    </w:p>
    <w:p>
      <w:pPr>
        <w:jc w:val="right"/>
      </w:pPr>
      <w:r>
        <w:rPr>
          <w:rFonts w:ascii="Times New Roman" w:hAnsi="Times New Roman"/>
          <w:b w:val="0"/>
          <w:i w:val="0"/>
          <w:sz w:val="24"/>
        </w:rPr>
        <w:t>к Приказу № ___ от «___» декабря 2025 г.</w:t>
      </w:r>
    </w:p>
    <w:p/>
    <w:p>
      <w:pPr>
        <w:pStyle w:val="Title"/>
        <w:jc w:val="center"/>
      </w:pPr>
      <w:r>
        <w:t>УЧЁТНАЯ ПОЛИТИКА</w:t>
      </w:r>
    </w:p>
    <w:p>
      <w:pPr>
        <w:pStyle w:val="Title"/>
        <w:jc w:val="center"/>
      </w:pPr>
      <w:r>
        <w:t>для целей бухгалтерского учёта</w:t>
      </w:r>
    </w:p>
    <w:p>
      <w:pPr>
        <w:pStyle w:val="Title"/>
        <w:jc w:val="center"/>
      </w:pPr>
      <w:r>
        <w:t>ООО «___________________» на 2026 год</w:t>
      </w:r>
    </w:p>
    <w:p/>
    <w:p>
      <w:pPr>
        <w:pStyle w:val="Heading1"/>
        <w:jc w:val="left"/>
      </w:pPr>
      <w:r>
        <w:t>РАЗДЕЛ 1. ОБЩИЕ ПОЛОЖЕНИЯ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1.1. </w:t>
      </w:r>
      <w:r>
        <w:rPr>
          <w:rFonts w:ascii="Times New Roman" w:hAnsi="Times New Roman"/>
          <w:sz w:val="24"/>
        </w:rPr>
        <w:t>Бухгалтерский учёт организации ведётся бухгалтерской службой, возглавляемой главным бухгалтером / [вариант: ведётся лично руководителем / передан по договору специализированной организации].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1.2. </w:t>
      </w:r>
      <w:r>
        <w:rPr>
          <w:rFonts w:ascii="Times New Roman" w:hAnsi="Times New Roman"/>
          <w:sz w:val="24"/>
        </w:rPr>
        <w:t>Бухгалтерский учёт ведётся с использованием специализированного программного обеспечения «_____________» (версия _____).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1.3. </w:t>
      </w:r>
      <w:r>
        <w:rPr>
          <w:rFonts w:ascii="Times New Roman" w:hAnsi="Times New Roman"/>
          <w:sz w:val="24"/>
        </w:rPr>
        <w:t>Бухгалтерский учёт ведётся методом двойной записи на счетах рабочего плана счетов, разработанного на основе Плана счетов бухгалтерского учёта, утверждённого приказом Минфина России от 31.10.2000 № 94н. Рабочий план счетов приведён в Приложении № 1а к настоящей учётной политике.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1.4. </w:t>
      </w:r>
      <w:r>
        <w:rPr>
          <w:rFonts w:ascii="Times New Roman" w:hAnsi="Times New Roman"/>
          <w:sz w:val="24"/>
        </w:rPr>
        <w:t>В качестве форм первичных учётных документов применяются: унифицированные формы, утверждённые уполномоченными органами, и самостоятельно разработанные формы, приведённые в Приложении № 1б. Перечень должностных лиц, имеющих право подписи первичных документов, утверждается отдельным приказом.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1.5. </w:t>
      </w:r>
      <w:r>
        <w:rPr>
          <w:rFonts w:ascii="Times New Roman" w:hAnsi="Times New Roman"/>
          <w:sz w:val="24"/>
        </w:rPr>
        <w:t>График документооборота утверждается отдельным приказом в соответствии с ФСБУ 27/2021 «Документы и документооборот в бухгалтерском учёте».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1.6. </w:t>
      </w:r>
      <w:r>
        <w:rPr>
          <w:rFonts w:ascii="Times New Roman" w:hAnsi="Times New Roman"/>
          <w:sz w:val="24"/>
        </w:rPr>
        <w:t>Инвентаризация активов и обязательств проводится ежегодно перед составлением годовой бухгалтерской отчётности (не ранее 1 октября отчётного года), а также в случаях, установленных ст. 11 Закона № 402-ФЗ.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1.7. </w:t>
      </w:r>
      <w:r>
        <w:rPr>
          <w:rFonts w:ascii="Times New Roman" w:hAnsi="Times New Roman"/>
          <w:sz w:val="24"/>
        </w:rPr>
        <w:t>Критерий существенности для целей формирования отчётности устанавливается в размере ___% от общей суммы соответствующей статьи (группы статей) бухгалтерского баланса [рекомендуется 5%]. Информация считается существенной, если её пропуск или искажение могут повлиять на экономические решения пользователей.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1.8. </w:t>
      </w:r>
      <w:r>
        <w:rPr>
          <w:rFonts w:ascii="Times New Roman" w:hAnsi="Times New Roman"/>
          <w:sz w:val="24"/>
        </w:rPr>
        <w:t>Промежуточная бухгалтерская отчётность составляется [ежемесячно / ежеквартально / не составляется].</w:t>
      </w:r>
    </w:p>
    <w:p/>
    <w:p>
      <w:pPr>
        <w:pStyle w:val="Heading1"/>
        <w:jc w:val="left"/>
      </w:pPr>
      <w:r>
        <w:t>РАЗДЕЛ 2. ОСНОВНЫЕ СРЕДСТВА (ФСБУ 6/2020)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2.1. </w:t>
      </w:r>
      <w:r>
        <w:rPr>
          <w:rFonts w:ascii="Times New Roman" w:hAnsi="Times New Roman"/>
          <w:sz w:val="24"/>
        </w:rPr>
        <w:t>Объекты со сроком полезного использования более 12 месяцев и первоначальной стоимостью свыше _____________ рублей [рекомендуется: 100 000 руб.] признаются основными средствами. Активы ниже указанного стоимостного лимита учитываются в составе запасов и списываются на расходы при передаче в эксплуатацию.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2.2. </w:t>
      </w:r>
      <w:r>
        <w:rPr>
          <w:rFonts w:ascii="Times New Roman" w:hAnsi="Times New Roman"/>
          <w:sz w:val="24"/>
        </w:rPr>
        <w:t>Для признанных основных средств применяется модель учёта по первоначальной стоимости [альтернатива: по переоценённой стоимости].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2.3. </w:t>
      </w:r>
      <w:r>
        <w:rPr>
          <w:rFonts w:ascii="Times New Roman" w:hAnsi="Times New Roman"/>
          <w:sz w:val="24"/>
        </w:rPr>
        <w:t>Амортизация начисляется линейным способом [альтернатива: способом уменьшаемого остатка; пропорционально объёму продукции].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2.4. </w:t>
      </w:r>
      <w:r>
        <w:rPr>
          <w:rFonts w:ascii="Times New Roman" w:hAnsi="Times New Roman"/>
          <w:sz w:val="24"/>
        </w:rPr>
        <w:t>Срок полезного использования устанавливается исходя из ожидаемого периода получения экономических выгод и пересматривается не реже одного раза в год на соответствие фактическим условиям эксплуатации.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2.5. </w:t>
      </w:r>
      <w:r>
        <w:rPr>
          <w:rFonts w:ascii="Times New Roman" w:hAnsi="Times New Roman"/>
          <w:sz w:val="24"/>
        </w:rPr>
        <w:t>Ликвидационная стоимость объекта ОС принимается равной нулю, если иное не обосновано расчётом при постановке на учёт.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2.6. </w:t>
      </w:r>
      <w:r>
        <w:rPr>
          <w:rFonts w:ascii="Times New Roman" w:hAnsi="Times New Roman"/>
          <w:sz w:val="24"/>
        </w:rPr>
        <w:t>Затраты на техническое обслуживание и ремонт ОС, не улучшающие и не продлевающие его эксплуатационные характеристики, включаются в расходы текущего периода. Затраты на модернизацию и реконструкцию, существенно улучшающие характеристики ОС, увеличивают его балансовую стоимость.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2.7. </w:t>
      </w:r>
      <w:r>
        <w:rPr>
          <w:rFonts w:ascii="Times New Roman" w:hAnsi="Times New Roman"/>
          <w:sz w:val="24"/>
        </w:rPr>
        <w:t>Обесценение объектов ОС проверяется ежегодно в соответствии с МСФО (IAS) 36 в части, применимой в рамках ФСБУ 6/2020.</w:t>
      </w:r>
    </w:p>
    <w:p/>
    <w:p>
      <w:pPr>
        <w:pStyle w:val="Heading1"/>
        <w:jc w:val="left"/>
      </w:pPr>
      <w:r>
        <w:t>РАЗДЕЛ 3. НЕМАТЕРИАЛЬНЫЕ АКТИВЫ (ФСБУ 14/2022)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3.1. </w:t>
      </w:r>
      <w:r>
        <w:rPr>
          <w:rFonts w:ascii="Times New Roman" w:hAnsi="Times New Roman"/>
          <w:sz w:val="24"/>
        </w:rPr>
        <w:t>Нематериальные активы принимаются к учёту при единовременном соответствии критериям признания ФСБУ 14/2022. Стоимостной лимит для признания НМА: _____________ рублей [рекомендуется: 100 000 руб.]. Активы ниже лимита списываются на расходы.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3.2. </w:t>
      </w:r>
      <w:r>
        <w:rPr>
          <w:rFonts w:ascii="Times New Roman" w:hAnsi="Times New Roman"/>
          <w:sz w:val="24"/>
        </w:rPr>
        <w:t>Амортизация НМА с определённым сроком полезного использования начисляется линейным способом. НМА с неопределённым сроком полезного использования не амортизируются.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3.3. </w:t>
      </w:r>
      <w:r>
        <w:rPr>
          <w:rFonts w:ascii="Times New Roman" w:hAnsi="Times New Roman"/>
          <w:sz w:val="24"/>
        </w:rPr>
        <w:t>Срок полезного использования НМА пересматривается ежегодно.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3.4. </w:t>
      </w:r>
      <w:r>
        <w:rPr>
          <w:rFonts w:ascii="Times New Roman" w:hAnsi="Times New Roman"/>
          <w:sz w:val="24"/>
        </w:rPr>
        <w:t>Для программного обеспечения из реестра российского ПО стоимость учитывается в порядке, установленном ФСБУ 14/2022.</w:t>
      </w:r>
    </w:p>
    <w:p/>
    <w:p>
      <w:pPr>
        <w:pStyle w:val="Heading1"/>
        <w:jc w:val="left"/>
      </w:pPr>
      <w:r>
        <w:t>РАЗДЕЛ 4. КАПИТАЛЬНЫЕ ВЛОЖЕНИЯ (ФСБУ 26/2020)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4.1. </w:t>
      </w:r>
      <w:r>
        <w:rPr>
          <w:rFonts w:ascii="Times New Roman" w:hAnsi="Times New Roman"/>
          <w:sz w:val="24"/>
        </w:rPr>
        <w:t>Капитальными вложениями признаются затраты на приобретение, создание, улучшение и восстановление объектов ОС и НМА, соответствующие критериям ФСБУ 26/2020.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4.2. </w:t>
      </w:r>
      <w:r>
        <w:rPr>
          <w:rFonts w:ascii="Times New Roman" w:hAnsi="Times New Roman"/>
          <w:sz w:val="24"/>
        </w:rPr>
        <w:t>Капитальные вложения учитываются на счёте 08 «Вложения во внеоборотные активы» до момента перевода в состав ОС/НМА. Незавершённые капитальные вложения ежегодно тестируются на обесценение.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4.3. </w:t>
      </w:r>
      <w:r>
        <w:rPr>
          <w:rFonts w:ascii="Times New Roman" w:hAnsi="Times New Roman"/>
          <w:sz w:val="24"/>
        </w:rPr>
        <w:t>Проценты по займам, привлечённым для финансирования инвестиционного актива [включаются в стоимость капитальных вложений / не включаются и признаются расходами периода].</w:t>
      </w:r>
    </w:p>
    <w:p/>
    <w:p>
      <w:pPr>
        <w:pStyle w:val="Heading1"/>
        <w:jc w:val="left"/>
      </w:pPr>
      <w:r>
        <w:t>РАЗДЕЛ 5. ЗАПАСЫ (ФСБУ 5/2019)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5.1. </w:t>
      </w:r>
      <w:r>
        <w:rPr>
          <w:rFonts w:ascii="Times New Roman" w:hAnsi="Times New Roman"/>
          <w:sz w:val="24"/>
        </w:rPr>
        <w:t>Запасы принимаются к учёту по фактической себестоимости. Транспортно-заготовительные расходы [включаются в фактическую себестоимость запасов / учитываются на отдельном субсчёте с последующим распределением].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5.2. </w:t>
      </w:r>
      <w:r>
        <w:rPr>
          <w:rFonts w:ascii="Times New Roman" w:hAnsi="Times New Roman"/>
          <w:sz w:val="24"/>
        </w:rPr>
        <w:t>Себестоимость запасов при их выбытии определяется: по средней себестоимости [альтернативы: по себестоимости каждой единицы; методом ФИФО].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5.3. </w:t>
      </w:r>
      <w:r>
        <w:rPr>
          <w:rFonts w:ascii="Times New Roman" w:hAnsi="Times New Roman"/>
          <w:sz w:val="24"/>
        </w:rPr>
        <w:t>Малоценные активы (инструменты, инвентарь, спецодежда со сроком эксплуатации до 12 мес.) признаются запасами и списываются на расходы при передаче в производство / эксплуатацию.</w:t>
      </w:r>
    </w:p>
    <w:p/>
    <w:p>
      <w:pPr>
        <w:pStyle w:val="Heading1"/>
        <w:jc w:val="left"/>
      </w:pPr>
      <w:r>
        <w:t>РАЗДЕЛ 6. АРЕНДА (ФСБУ 25/2018)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6.1. </w:t>
      </w:r>
      <w:r>
        <w:rPr>
          <w:rFonts w:ascii="Times New Roman" w:hAnsi="Times New Roman"/>
          <w:sz w:val="24"/>
        </w:rPr>
        <w:t>Организация в качестве арендатора признаёт право пользования активом (ППА) и обязательство по аренде на дату получения предмета аренды. Ставка дисконтирования — ставка привлечения заёмного финансирования на сопоставимых условиях.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6.2. </w:t>
      </w:r>
      <w:r>
        <w:rPr>
          <w:rFonts w:ascii="Times New Roman" w:hAnsi="Times New Roman"/>
          <w:sz w:val="24"/>
        </w:rPr>
        <w:t>Организация использует упрощения, предусмотренные п. 11, 12 ФСБУ 25/2018: краткосрочная аренда (до 12 месяцев) и аренда с малоценным предметом учитываются без признания ППА и обязательства по аренде — арендные платежи признаются в расходах равномерно.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6.3. </w:t>
      </w:r>
      <w:r>
        <w:rPr>
          <w:rFonts w:ascii="Times New Roman" w:hAnsi="Times New Roman"/>
          <w:sz w:val="24"/>
        </w:rPr>
        <w:t>Организация в качестве арендодателя классифицирует аренду как операционную / финансовую [выбрать нужное] и учитывает её в соответствии с разделом III ФСБУ 25/2018.</w:t>
      </w:r>
    </w:p>
    <w:p/>
    <w:p>
      <w:pPr>
        <w:pStyle w:val="Heading1"/>
        <w:jc w:val="left"/>
      </w:pPr>
      <w:r>
        <w:t>РАЗДЕЛ 7. ФИНАНСОВЫЕ ВЛОЖЕНИЯ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7.1. </w:t>
      </w:r>
      <w:r>
        <w:rPr>
          <w:rFonts w:ascii="Times New Roman" w:hAnsi="Times New Roman"/>
          <w:sz w:val="24"/>
        </w:rPr>
        <w:t>Финансовые вложения принимаются к учёту по первоначальной стоимости в соответствии с ПБУ 19/02.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7.2. </w:t>
      </w:r>
      <w:r>
        <w:rPr>
          <w:rFonts w:ascii="Times New Roman" w:hAnsi="Times New Roman"/>
          <w:sz w:val="24"/>
        </w:rPr>
        <w:t>Финансовые вложения, по которым можно определить текущую рыночную стоимость (котируемые ценные бумаги), отражаются по рыночной стоимости на отчётную дату. Прочие финансовые вложения учитываются по первоначальной стоимости.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7.3. </w:t>
      </w:r>
      <w:r>
        <w:rPr>
          <w:rFonts w:ascii="Times New Roman" w:hAnsi="Times New Roman"/>
          <w:sz w:val="24"/>
        </w:rPr>
        <w:t>Проверка на обесценение финансовых вложений проводится ежегодно при наличии признаков устойчивого снижения их стоимости.</w:t>
      </w:r>
    </w:p>
    <w:p/>
    <w:p>
      <w:pPr>
        <w:pStyle w:val="Heading1"/>
        <w:jc w:val="left"/>
      </w:pPr>
      <w:r>
        <w:t>РАЗДЕЛ 8. ДЕБИТОРСКАЯ ЗАДОЛЖЕННОСТЬ И РЕЗЕРВЫ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8.1. </w:t>
      </w:r>
      <w:r>
        <w:rPr>
          <w:rFonts w:ascii="Times New Roman" w:hAnsi="Times New Roman"/>
          <w:sz w:val="24"/>
        </w:rPr>
        <w:t>Резерв по сомнительным долгам создаётся по каждому долгу, признанному сомнительным, на основании инвентаризации дебиторской задолженности. Критерии сомнительности: задолженность, не погашенная в установленный срок и не обеспеченная залогом, поручительством или банковской гарантией.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8.2. </w:t>
      </w:r>
      <w:r>
        <w:rPr>
          <w:rFonts w:ascii="Times New Roman" w:hAnsi="Times New Roman"/>
          <w:sz w:val="24"/>
        </w:rPr>
        <w:t>Резерв формируется по следующим нормативам: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просрочка до 45 дней — резерв не создаётся;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просрочка от 45 до 90 дней — 50% от суммы долга;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просрочка свыше 90 дней — 100% от суммы долга.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8.3. </w:t>
      </w:r>
      <w:r>
        <w:rPr>
          <w:rFonts w:ascii="Times New Roman" w:hAnsi="Times New Roman"/>
          <w:sz w:val="24"/>
        </w:rPr>
        <w:t>Оценочные обязательства (резерв на оплату отпусков, гарантийный ремонт и пр.) создаются при наличии обязывающих событий и возможности надёжной оценки в соответствии с ПБУ 8/2010.</w:t>
      </w:r>
    </w:p>
    <w:p/>
    <w:p>
      <w:pPr>
        <w:pStyle w:val="Heading1"/>
        <w:jc w:val="left"/>
      </w:pPr>
      <w:r>
        <w:t>РАЗДЕЛ 9. ДОХОДЫ — ДОСРОЧНОЕ ПРИМЕНЕНИЕ ФСБУ 9/2025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9.1. </w:t>
      </w:r>
      <w:r>
        <w:rPr>
          <w:rFonts w:ascii="Times New Roman" w:hAnsi="Times New Roman"/>
          <w:sz w:val="24"/>
        </w:rPr>
        <w:t>[ВАРИАНТ А — если организация переходит досрочно] Организация применяет ФСБУ 9/2025 «Доходы» досрочно, с 1 января 2026 года. Выручка от продажи товаров (работ, услуг) признаётся в момент передачи покупателю контроля над активом (при исполнении обязательства по договору). Переход осуществлён перспективно.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9.2. </w:t>
      </w:r>
      <w:r>
        <w:rPr>
          <w:rFonts w:ascii="Times New Roman" w:hAnsi="Times New Roman"/>
          <w:sz w:val="24"/>
        </w:rPr>
        <w:t>[ВАРИАНТ Б — если организация не переходит досрочно] Организация применяет ПБУ 9/99 «Доходы организации». Переход на ФСБУ 9/2025 планируется с 1 января 2027 года.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9.3. </w:t>
      </w:r>
      <w:r>
        <w:rPr>
          <w:rFonts w:ascii="Times New Roman" w:hAnsi="Times New Roman"/>
          <w:sz w:val="24"/>
        </w:rPr>
        <w:t>Выручка признаётся при одновременном соблюдении условий п. 12 ПБУ 9/99 [или условий ФСБУ 9/2025 при досрочном переходе].</w:t>
      </w:r>
    </w:p>
    <w:p/>
    <w:p>
      <w:pPr>
        <w:pStyle w:val="Heading1"/>
        <w:jc w:val="left"/>
      </w:pPr>
      <w:r>
        <w:t>РАЗДЕЛ 10. РАСХОДЫ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10.1. </w:t>
      </w:r>
      <w:r>
        <w:rPr>
          <w:rFonts w:ascii="Times New Roman" w:hAnsi="Times New Roman"/>
          <w:sz w:val="24"/>
        </w:rPr>
        <w:t>Расходы организации признаются в соответствии с ПБУ 10/99 «Расходы организации» по методу начисления, независимо от факта оплаты.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10.2. </w:t>
      </w:r>
      <w:r>
        <w:rPr>
          <w:rFonts w:ascii="Times New Roman" w:hAnsi="Times New Roman"/>
          <w:sz w:val="24"/>
        </w:rPr>
        <w:t>Управленческие расходы [списываются полностью в себестоимость продаж отчётного периода / распределяются по видам деятельности].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10.3. </w:t>
      </w:r>
      <w:r>
        <w:rPr>
          <w:rFonts w:ascii="Times New Roman" w:hAnsi="Times New Roman"/>
          <w:sz w:val="24"/>
        </w:rPr>
        <w:t>Коммерческие (сбытовые) расходы [включаются в себестоимость продаж / отражаются развёрнуто].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10.4. </w:t>
      </w:r>
      <w:r>
        <w:rPr>
          <w:rFonts w:ascii="Times New Roman" w:hAnsi="Times New Roman"/>
          <w:sz w:val="24"/>
        </w:rPr>
        <w:t>Расходы будущих периодов (лицензии, сертификаты, страховые премии и пр.) учитываются на счёте 97 и списываются равномерно в течение срока, к которому они относятся.</w:t>
      </w:r>
    </w:p>
    <w:p/>
    <w:p>
      <w:pPr>
        <w:pStyle w:val="Heading1"/>
        <w:jc w:val="left"/>
      </w:pPr>
      <w:r>
        <w:t>РАЗДЕЛ 11. БУХГАЛТЕРСКАЯ ОТЧЁТНОСТЬ (ФСБУ 4/2023)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11.1. </w:t>
      </w:r>
      <w:r>
        <w:rPr>
          <w:rFonts w:ascii="Times New Roman" w:hAnsi="Times New Roman"/>
          <w:sz w:val="24"/>
        </w:rPr>
        <w:t>Годовая бухгалтерская (финансовая) отчётность составляется по формам, установленным ФСБУ 4/2023 «Бухгалтерская (финансовая) отчётность» (Приказ Минфина России от 04.10.2023 № 157н).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11.2. </w:t>
      </w:r>
      <w:r>
        <w:rPr>
          <w:rFonts w:ascii="Times New Roman" w:hAnsi="Times New Roman"/>
          <w:sz w:val="24"/>
        </w:rPr>
        <w:t>В состав годовой отчётности включаются: Бухгалтерский баланс; Отчёт о финансовых результатах; Отчёт об изменениях капитала; Отчёт о движении денежных средств; Пояснения к бухгалтерскому балансу и отчёту о финансовых результатах.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11.3. </w:t>
      </w:r>
      <w:r>
        <w:rPr>
          <w:rFonts w:ascii="Times New Roman" w:hAnsi="Times New Roman"/>
          <w:sz w:val="24"/>
        </w:rPr>
        <w:t>[Для субъектов МСП, имеющих право на упрощённую отчётность] Организация применяет упрощённые формы бухгалтерской отчётности: Бухгалтерский баланс и Отчёт о финансовых результатах по упрощённым формам.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11.4. </w:t>
      </w:r>
      <w:r>
        <w:rPr>
          <w:rFonts w:ascii="Times New Roman" w:hAnsi="Times New Roman"/>
          <w:sz w:val="24"/>
        </w:rPr>
        <w:t>Информация считается существенной для раскрытия в отчётности, если её отсутствие может повлиять на решение пользователей. Пороговое значение: ___% от итога соответствующего раздела баланса.</w:t>
      </w:r>
    </w:p>
    <w:p/>
    <w:p>
      <w:r>
        <w:br w:type="page"/>
      </w:r>
    </w:p>
    <w:p>
      <w:pPr>
        <w:jc w:val="right"/>
      </w:pPr>
      <w:r>
        <w:rPr>
          <w:rFonts w:ascii="Times New Roman" w:hAnsi="Times New Roman"/>
          <w:b/>
          <w:i w:val="0"/>
          <w:sz w:val="24"/>
        </w:rPr>
        <w:t>Приложение № 2</w:t>
      </w:r>
    </w:p>
    <w:p>
      <w:pPr>
        <w:jc w:val="right"/>
      </w:pPr>
      <w:r>
        <w:rPr>
          <w:rFonts w:ascii="Times New Roman" w:hAnsi="Times New Roman"/>
          <w:b w:val="0"/>
          <w:i w:val="0"/>
          <w:sz w:val="24"/>
        </w:rPr>
        <w:t>к Приказу № ___ от «___» декабря 2025 г.</w:t>
      </w:r>
    </w:p>
    <w:p/>
    <w:p>
      <w:pPr>
        <w:pStyle w:val="Title"/>
        <w:jc w:val="center"/>
      </w:pPr>
      <w:r>
        <w:t>УЧЁТНАЯ ПОЛИТИКА</w:t>
      </w:r>
    </w:p>
    <w:p>
      <w:pPr>
        <w:pStyle w:val="Title"/>
        <w:jc w:val="center"/>
      </w:pPr>
      <w:r>
        <w:t>для целей налогообложения</w:t>
      </w:r>
    </w:p>
    <w:p>
      <w:pPr>
        <w:pStyle w:val="Title"/>
        <w:jc w:val="center"/>
      </w:pPr>
      <w:r>
        <w:t>ООО «___________________» на 2026 год</w:t>
      </w:r>
    </w:p>
    <w:p/>
    <w:p>
      <w:pPr>
        <w:pStyle w:val="Heading1"/>
        <w:jc w:val="left"/>
      </w:pPr>
      <w:r>
        <w:t>РАЗДЕЛ 1. ОБЩИЕ ПОЛОЖЕНИЯ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1.1. </w:t>
      </w:r>
      <w:r>
        <w:rPr>
          <w:rFonts w:ascii="Times New Roman" w:hAnsi="Times New Roman"/>
          <w:sz w:val="24"/>
        </w:rPr>
        <w:t>Налоговый учёт ведётся на основе данных бухгалтерского учёта с применением аналитических регистров налогового учёта, разработанных и утверждённых в соответствии со ст. 314 НК РФ. Регистры налогового учёта приведены в Приложении № 2а.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1.2. </w:t>
      </w:r>
      <w:r>
        <w:rPr>
          <w:rFonts w:ascii="Times New Roman" w:hAnsi="Times New Roman"/>
          <w:sz w:val="24"/>
        </w:rPr>
        <w:t>Организация применяет общую систему налогообложения (ОСНО) [или: упрощённую систему налогообложения (УСН), объект налогообложения «доходы минус расходы»].</w:t>
      </w:r>
    </w:p>
    <w:p/>
    <w:p>
      <w:pPr>
        <w:pStyle w:val="Heading1"/>
        <w:jc w:val="left"/>
      </w:pPr>
      <w:r>
        <w:t>РАЗДЕЛ 2. НАЛОГ НА ПРИБЫЛЬ ОРГАНИЗАЦИЙ</w:t>
      </w:r>
    </w:p>
    <w:p>
      <w:pPr>
        <w:jc w:val="both"/>
      </w:pPr>
      <w:r>
        <w:rPr>
          <w:rFonts w:ascii="Times New Roman" w:hAnsi="Times New Roman"/>
          <w:b w:val="0"/>
          <w:i/>
          <w:sz w:val="24"/>
        </w:rPr>
        <w:t>(заполняется организациями на ОСНО)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2.1. </w:t>
      </w:r>
      <w:r>
        <w:rPr>
          <w:rFonts w:ascii="Times New Roman" w:hAnsi="Times New Roman"/>
          <w:sz w:val="24"/>
        </w:rPr>
        <w:t>Метод признания доходов и расходов — метод начисления (ст. 271–273 НК РФ) [альтернатива: кассовый метод при среднеквартальной выручке не более 1 млн руб.].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2.2. </w:t>
      </w:r>
      <w:r>
        <w:rPr>
          <w:rFonts w:ascii="Times New Roman" w:hAnsi="Times New Roman"/>
          <w:sz w:val="24"/>
        </w:rPr>
        <w:t>Доходы и расходы подразделяются на доходы (расходы) от реализации и внереализационные доходы (расходы) в соответствии со ст. 248–251, 265–270 НК РФ.</w:t>
      </w:r>
    </w:p>
    <w:p>
      <w:pPr>
        <w:jc w:val="both"/>
      </w:pPr>
      <w:r>
        <w:rPr>
          <w:rFonts w:ascii="Times New Roman" w:hAnsi="Times New Roman"/>
          <w:b/>
          <w:i w:val="0"/>
          <w:sz w:val="24"/>
        </w:rPr>
        <w:t>Амортизация основных средств и НМА: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2.3. </w:t>
      </w:r>
      <w:r>
        <w:rPr>
          <w:rFonts w:ascii="Times New Roman" w:hAnsi="Times New Roman"/>
          <w:sz w:val="24"/>
        </w:rPr>
        <w:t>Применяется линейный метод начисления амортизации для всех объектов амортизируемого имущества (ст. 259 НК РФ) [альтернатива: нелинейный метод, кроме зданий/сооружений 8–10 амортизационных групп].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2.4. </w:t>
      </w:r>
      <w:r>
        <w:rPr>
          <w:rFonts w:ascii="Times New Roman" w:hAnsi="Times New Roman"/>
          <w:sz w:val="24"/>
        </w:rPr>
        <w:t>Амортизационная премия применяется в размере ___% [до 10% для 1–2 и 8–10 групп; до 30% для 3–7 групп] от первоначальной стоимости ОС, вводимых в эксплуатацию. Амортизационная премия не применяется в отношении безвозмездно полученных ОС.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2.5. </w:t>
      </w:r>
      <w:r>
        <w:rPr>
          <w:rFonts w:ascii="Times New Roman" w:hAnsi="Times New Roman"/>
          <w:sz w:val="24"/>
        </w:rPr>
        <w:t>Повышающий коэффициент к норме амортизации в размере 2 применяется в отношении: ОС и НМА, включённых в перечень российского высокотехнологичного оборудования; программного обеспечения и баз данных из реестра российского ПО (ст. 259.3 НК РФ в ред. 2025–2026 гг.). [при неприменении: повышающие коэффициенты к норме амортизации не применяются].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2.6. </w:t>
      </w:r>
      <w:r>
        <w:rPr>
          <w:rFonts w:ascii="Times New Roman" w:hAnsi="Times New Roman"/>
          <w:sz w:val="24"/>
        </w:rPr>
        <w:t>Федеральный инвестиционный вычет (ФИнВ) [применяется / не применяется]. При применении: порядок использования вычета по ОС _________ амортизационных групп в соответствии со ст. 286.2 НК РФ. ФИнВ не применяется в отношении ОС и НМА, первоначальная стоимость которых сформирована за счёт субсидий или за счёт расходов с применением повышающего коэффициента.</w:t>
      </w:r>
    </w:p>
    <w:p>
      <w:pPr>
        <w:jc w:val="both"/>
      </w:pPr>
      <w:r>
        <w:rPr>
          <w:rFonts w:ascii="Times New Roman" w:hAnsi="Times New Roman"/>
          <w:b/>
          <w:i w:val="0"/>
          <w:sz w:val="24"/>
        </w:rPr>
        <w:t>Материальные расходы и запасы: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2.7. </w:t>
      </w:r>
      <w:r>
        <w:rPr>
          <w:rFonts w:ascii="Times New Roman" w:hAnsi="Times New Roman"/>
          <w:sz w:val="24"/>
        </w:rPr>
        <w:t>Метод оценки сырья и материалов при списании в производство: по средней себестоимости [альтернативы: по себестоимости единицы; ФИФО] (ст. 254 НК РФ).</w:t>
      </w:r>
    </w:p>
    <w:p>
      <w:pPr>
        <w:jc w:val="both"/>
      </w:pPr>
      <w:r>
        <w:rPr>
          <w:rFonts w:ascii="Times New Roman" w:hAnsi="Times New Roman"/>
          <w:b/>
          <w:i w:val="0"/>
          <w:sz w:val="24"/>
        </w:rPr>
        <w:t>Прямые и косвенные расходы: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2.8. </w:t>
      </w:r>
      <w:r>
        <w:rPr>
          <w:rFonts w:ascii="Times New Roman" w:hAnsi="Times New Roman"/>
          <w:sz w:val="24"/>
        </w:rPr>
        <w:t>К прямым расходам относятся (ст. 318 НК РФ):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материальные расходы на приобретение сырья и материалов, используемых в производстве;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расходы на оплату труда персонала, участвующего в процессе производства;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суммы страховых взносов, начисленных на указанные расходы на оплату труда;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суммы начисленной амортизации по ОС, используемым в производстве.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2.9. </w:t>
      </w:r>
      <w:r>
        <w:rPr>
          <w:rFonts w:ascii="Times New Roman" w:hAnsi="Times New Roman"/>
          <w:sz w:val="24"/>
        </w:rPr>
        <w:t>Все иные расходы, за исключением внереализационных, признаются косвенными и учитываются в расходах текущего периода.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2.10. </w:t>
      </w:r>
      <w:r>
        <w:rPr>
          <w:rFonts w:ascii="Times New Roman" w:hAnsi="Times New Roman"/>
          <w:sz w:val="24"/>
        </w:rPr>
        <w:t>Для торговых организаций к прямым расходам относятся: стоимость приобретения товаров, реализованных в данном отчётном (налоговом) периоде; транспортные расходы по доставке товаров до склада (если не включены в цену приобретения).</w:t>
      </w:r>
    </w:p>
    <w:p>
      <w:pPr>
        <w:jc w:val="both"/>
      </w:pPr>
      <w:r>
        <w:rPr>
          <w:rFonts w:ascii="Times New Roman" w:hAnsi="Times New Roman"/>
          <w:b/>
          <w:i w:val="0"/>
          <w:sz w:val="24"/>
        </w:rPr>
        <w:t>Резервы в налоговом учёте: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2.11. </w:t>
      </w:r>
      <w:r>
        <w:rPr>
          <w:rFonts w:ascii="Times New Roman" w:hAnsi="Times New Roman"/>
          <w:sz w:val="24"/>
        </w:rPr>
        <w:t>Резерв по сомнительным долгам [создаётся / не создаётся]. При создании: в порядке, установленном ст. 266 НК РФ. Предельный размер резерва — 10% от выручки отчётного периода.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2.12. </w:t>
      </w:r>
      <w:r>
        <w:rPr>
          <w:rFonts w:ascii="Times New Roman" w:hAnsi="Times New Roman"/>
          <w:sz w:val="24"/>
        </w:rPr>
        <w:t>Резерв на оплату отпусков [создаётся / не создаётся]. При создании: ежемесячный процент отчислений — ___% от расходов на оплату труда.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2.13. </w:t>
      </w:r>
      <w:r>
        <w:rPr>
          <w:rFonts w:ascii="Times New Roman" w:hAnsi="Times New Roman"/>
          <w:sz w:val="24"/>
        </w:rPr>
        <w:t>Резерв на ремонт основных средств [создаётся / не создаётся].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2.14. </w:t>
      </w:r>
      <w:r>
        <w:rPr>
          <w:rFonts w:ascii="Times New Roman" w:hAnsi="Times New Roman"/>
          <w:sz w:val="24"/>
        </w:rPr>
        <w:t>Резерв по гарантийному ремонту и гарантийному обслуживанию [создаётся / не создаётся].</w:t>
      </w:r>
    </w:p>
    <w:p>
      <w:pPr>
        <w:jc w:val="both"/>
      </w:pPr>
      <w:r>
        <w:rPr>
          <w:rFonts w:ascii="Times New Roman" w:hAnsi="Times New Roman"/>
          <w:b/>
          <w:i w:val="0"/>
          <w:sz w:val="24"/>
        </w:rPr>
        <w:t>Убытки прошлых лет: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2.15. </w:t>
      </w:r>
      <w:r>
        <w:rPr>
          <w:rFonts w:ascii="Times New Roman" w:hAnsi="Times New Roman"/>
          <w:sz w:val="24"/>
        </w:rPr>
        <w:t>Убыток, полученный в предыдущих налоговых периодах, уменьшает налоговую базу текущего периода в пределах 50% (ст. 283 НК РФ). Организация ведёт раздельный учёт убытков по годам их возникновения.</w:t>
      </w:r>
    </w:p>
    <w:p/>
    <w:p>
      <w:pPr>
        <w:pStyle w:val="Heading1"/>
        <w:jc w:val="left"/>
      </w:pPr>
      <w:r>
        <w:t>РАЗДЕЛ 3. НАЛОГ НА ДОБАВЛЕННУЮ СТОИМОСТЬ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3.1. </w:t>
      </w:r>
      <w:r>
        <w:rPr>
          <w:rFonts w:ascii="Times New Roman" w:hAnsi="Times New Roman"/>
          <w:sz w:val="24"/>
        </w:rPr>
        <w:t>Организация является плательщиком НДС. Применяемые налоговые ставки: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22% — по операциям реализации, не поименованным в пп. 1–3 ст. 164 НК РФ;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10% — по перечням, установленным п. 2 ст. 164 НК РФ;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0% — при экспорте и иных операциях по п. 1 ст. 164 НК РФ.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3.2. </w:t>
      </w:r>
      <w:r>
        <w:rPr>
          <w:rFonts w:ascii="Times New Roman" w:hAnsi="Times New Roman"/>
          <w:sz w:val="24"/>
        </w:rPr>
        <w:t>[Для организаций на УСН, ставших плательщиками НДС с 2026 г.] Организация применяет льготную ставку НДС _____% [5% при доходах до 272,5 млн руб.; 7% при доходах до 490,5 млн руб.] без права на вычет входящего НДС. [Или: применяет ставку 22%/10%/0% с правом на налоговые вычеты.]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3.3. </w:t>
      </w:r>
      <w:r>
        <w:rPr>
          <w:rFonts w:ascii="Times New Roman" w:hAnsi="Times New Roman"/>
          <w:sz w:val="24"/>
        </w:rPr>
        <w:t>Момент определения налоговой базы по НДС — наиболее ранняя из дат: день отгрузки (передачи) товаров (работ, услуг) или день получения предоплаты (ст. 167 НК РФ).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3.4. </w:t>
      </w:r>
      <w:r>
        <w:rPr>
          <w:rFonts w:ascii="Times New Roman" w:hAnsi="Times New Roman"/>
          <w:sz w:val="24"/>
        </w:rPr>
        <w:t>[При наличии облагаемых и необлагаемых операций] Организация ведёт раздельный учёт НДС в соответствии со ст. 170 НК РФ. Пропорция рассчитывается исходя из стоимости отгруженных товаров (работ, услуг), облагаемых НДС, в общей стоимости отгрузки за квартал. Раздельный учёт ведётся на субсчетах к счетам 19, 90, 91.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3.5. </w:t>
      </w:r>
      <w:r>
        <w:rPr>
          <w:rFonts w:ascii="Times New Roman" w:hAnsi="Times New Roman"/>
          <w:sz w:val="24"/>
        </w:rPr>
        <w:t>[При ведении только облагаемых операций] Организация ведёт деятельность, облагаемую НДС в полном объёме. Раздельный учёт не ведётся.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3.6. </w:t>
      </w:r>
      <w:r>
        <w:rPr>
          <w:rFonts w:ascii="Times New Roman" w:hAnsi="Times New Roman"/>
          <w:sz w:val="24"/>
        </w:rPr>
        <w:t>Учёт выданных и полученных счетов-фактур, ведение книги покупок и книги продаж осуществляется в соответствии с Постановлением Правительства РФ от 26.12.2011 № 1137. Нумерация счетов-фактур — сквозная с начала календарного года.</w:t>
      </w:r>
    </w:p>
    <w:p/>
    <w:p>
      <w:pPr>
        <w:pStyle w:val="Heading1"/>
        <w:jc w:val="left"/>
      </w:pPr>
      <w:r>
        <w:t>РАЗДЕЛ 4. НДФЛ И СТРАХОВЫЕ ВЗНОСЫ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4.1. </w:t>
      </w:r>
      <w:r>
        <w:rPr>
          <w:rFonts w:ascii="Times New Roman" w:hAnsi="Times New Roman"/>
          <w:sz w:val="24"/>
        </w:rPr>
        <w:t>Организация исполняет обязанности налогового агента по НДФЛ в соответствии с гл. 23 НК РФ. Исчисление НДФЛ производится по прогрессивным ставкам, действующим с 01.01.2025: 13% — до 2,4 млн руб.; 15% — от 2,4 млн до 5 млн руб.; 18% — от 5 млн до 20 млн руб.; 20% — от 20 млн до 50 млн руб.; 22% — свыше 50 млн руб. в год.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4.2. </w:t>
      </w:r>
      <w:r>
        <w:rPr>
          <w:rFonts w:ascii="Times New Roman" w:hAnsi="Times New Roman"/>
          <w:sz w:val="24"/>
        </w:rPr>
        <w:t>Налоговые регистры по НДФЛ ведутся по каждому физическому лицу в соответствии со ст. 230 НК РФ.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4.3. </w:t>
      </w:r>
      <w:r>
        <w:rPr>
          <w:rFonts w:ascii="Times New Roman" w:hAnsi="Times New Roman"/>
          <w:sz w:val="24"/>
        </w:rPr>
        <w:t>Страховые взносы исчисляются по тарифу 30% в пределах единой предельной базы и 15,1% — сверх предельной базы. [Для субъектов МСП] Организация применяет пониженный тариф страховых взносов 15% с выплат физическим лицам, превышающих МРОТ в месяц, в соответствии со ст. 427 НК РФ по виду деятельности ОКВЭД ___________. Документальное подтверждение права на льготный тариф обновляется ежегодно.</w:t>
      </w:r>
    </w:p>
    <w:p/>
    <w:p>
      <w:pPr>
        <w:pStyle w:val="Heading1"/>
        <w:jc w:val="left"/>
      </w:pPr>
      <w:r>
        <w:t>РАЗДЕЛ 5. НАЛОГ НА ИМУЩЕСТВО ОРГАНИЗАЦИЙ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5.1. </w:t>
      </w:r>
      <w:r>
        <w:rPr>
          <w:rFonts w:ascii="Times New Roman" w:hAnsi="Times New Roman"/>
          <w:sz w:val="24"/>
        </w:rPr>
        <w:t>Налоговая база по объектам недвижимого имущества, включённым в региональный перечень, определяется как кадастровая стоимость, утверждённая субъектом РФ на 1 января налогового периода. По иным объектам — как среднегодовая стоимость.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5.2. </w:t>
      </w:r>
      <w:r>
        <w:rPr>
          <w:rFonts w:ascii="Times New Roman" w:hAnsi="Times New Roman"/>
          <w:sz w:val="24"/>
        </w:rPr>
        <w:t>Налоговые льготы применяются по следующим объектам: _____________ (основание: ___________). [При отсутствии льгот — не применяются].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5.3. </w:t>
      </w:r>
      <w:r>
        <w:rPr>
          <w:rFonts w:ascii="Times New Roman" w:hAnsi="Times New Roman"/>
          <w:sz w:val="24"/>
        </w:rPr>
        <w:t>Расчёт авансовых платежей и налоговая декларация представляются в сроки, установленные ст. 386 НК РФ.</w:t>
      </w:r>
    </w:p>
    <w:p/>
    <w:p>
      <w:pPr>
        <w:pStyle w:val="Heading1"/>
        <w:jc w:val="left"/>
      </w:pPr>
      <w:r>
        <w:t>РАЗДЕЛ 6. УПРОЩЁННАЯ СИСТЕМА НАЛОГООБЛОЖЕНИЯ</w:t>
      </w:r>
    </w:p>
    <w:p>
      <w:pPr>
        <w:jc w:val="both"/>
      </w:pPr>
      <w:r>
        <w:rPr>
          <w:rFonts w:ascii="Times New Roman" w:hAnsi="Times New Roman"/>
          <w:b w:val="0"/>
          <w:i/>
          <w:sz w:val="24"/>
        </w:rPr>
        <w:t>(заполняется организациями на УСН)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6.1. </w:t>
      </w:r>
      <w:r>
        <w:rPr>
          <w:rFonts w:ascii="Times New Roman" w:hAnsi="Times New Roman"/>
          <w:sz w:val="24"/>
        </w:rPr>
        <w:t>Объект налогообложения: «доходы» [ставка 6%] / «доходы минус расходы» [ставка 15% или пониженная ставка ___% в соответствии с законом субъекта РФ].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6.2. </w:t>
      </w:r>
      <w:r>
        <w:rPr>
          <w:rFonts w:ascii="Times New Roman" w:hAnsi="Times New Roman"/>
          <w:sz w:val="24"/>
        </w:rPr>
        <w:t>Доходы учитываются кассовым методом в соответствии со ст. 346.17 НК РФ.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6.3. </w:t>
      </w:r>
      <w:r>
        <w:rPr>
          <w:rFonts w:ascii="Times New Roman" w:hAnsi="Times New Roman"/>
          <w:sz w:val="24"/>
        </w:rPr>
        <w:t>Лимит доходов для сохранения права на УСН: 450 млн рублей в 2026 году (проиндексированный предельный размер).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6.4. </w:t>
      </w:r>
      <w:r>
        <w:rPr>
          <w:rFonts w:ascii="Times New Roman" w:hAnsi="Times New Roman"/>
          <w:sz w:val="24"/>
        </w:rPr>
        <w:t>[При объекте «доходы минус расходы»] Перечень признаваемых расходов — исчерпывающий, установленный ст. 346.16 НК РФ. Расходы на приобретение ОС признаются равными долями в течение налогового периода с момента ввода в эксплуатацию.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6.5. </w:t>
      </w:r>
      <w:r>
        <w:rPr>
          <w:rFonts w:ascii="Times New Roman" w:hAnsi="Times New Roman"/>
          <w:sz w:val="24"/>
        </w:rPr>
        <w:t>Книга учёта доходов и расходов ведётся в электронном виде и распечатывается по итогам налогового периода.</w:t>
      </w:r>
    </w:p>
    <w:p/>
    <w:p>
      <w:pPr>
        <w:pStyle w:val="Heading1"/>
        <w:jc w:val="left"/>
      </w:pPr>
      <w:r>
        <w:t>РАЗДЕЛ 7. ТРАНСПОРТНЫЙ НАЛОГ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7.1. </w:t>
      </w:r>
      <w:r>
        <w:rPr>
          <w:rFonts w:ascii="Times New Roman" w:hAnsi="Times New Roman"/>
          <w:sz w:val="24"/>
        </w:rPr>
        <w:t>Исчисление транспортного налога производится по каждому транспортному средству, зарегистрированному на организацию, по ставкам, установленным законом субъекта РФ. Налоговые льготы [применяются / не применяются].</w:t>
      </w:r>
    </w:p>
    <w:p/>
    <w:p>
      <w:pPr>
        <w:pStyle w:val="Heading1"/>
        <w:jc w:val="left"/>
      </w:pPr>
      <w:r>
        <w:t>РАЗДЕЛ 8. ЗАКЛЮЧИТЕЛЬНЫЕ ПОЛОЖЕНИЯ</w:t>
      </w:r>
    </w:p>
    <w:p/>
    <w:p>
      <w:pPr>
        <w:jc w:val="both"/>
      </w:pPr>
      <w:r>
        <w:rPr>
          <w:rFonts w:ascii="Times New Roman" w:hAnsi="Times New Roman"/>
          <w:b/>
          <w:sz w:val="24"/>
        </w:rPr>
        <w:t xml:space="preserve">8.1. </w:t>
      </w:r>
      <w:r>
        <w:rPr>
          <w:rFonts w:ascii="Times New Roman" w:hAnsi="Times New Roman"/>
          <w:sz w:val="24"/>
        </w:rPr>
        <w:t>Настоящая учётная политика применяется с 1 января 2026 года последовательно от одного отчётного года к другому.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8.2. </w:t>
      </w:r>
      <w:r>
        <w:rPr>
          <w:rFonts w:ascii="Times New Roman" w:hAnsi="Times New Roman"/>
          <w:sz w:val="24"/>
        </w:rPr>
        <w:t>Изменения в учётную политику вносятся в случае: изменения законодательства РФ или нормативных правовых актов по бухгалтерскому учёту и налогообложению; разработки организацией новых способов учёта; существенного изменения условий деятельности организации.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8.3. </w:t>
      </w:r>
      <w:r>
        <w:rPr>
          <w:rFonts w:ascii="Times New Roman" w:hAnsi="Times New Roman"/>
          <w:sz w:val="24"/>
        </w:rPr>
        <w:t>Изменения, обусловленные изменением законодательства, применяются с момента вступления соответствующих изменений в силу. Иные изменения применяются с начала следующего отчётного года.</w:t>
      </w:r>
    </w:p>
    <w:p>
      <w:pPr>
        <w:jc w:val="both"/>
      </w:pPr>
      <w:r>
        <w:rPr>
          <w:rFonts w:ascii="Times New Roman" w:hAnsi="Times New Roman"/>
          <w:b/>
          <w:sz w:val="24"/>
        </w:rPr>
        <w:t xml:space="preserve">8.4. </w:t>
      </w:r>
      <w:r>
        <w:rPr>
          <w:rFonts w:ascii="Times New Roman" w:hAnsi="Times New Roman"/>
          <w:sz w:val="24"/>
        </w:rPr>
        <w:t>Ответственность за ведение бухгалтерского и налогового учёта в соответствии с настоящей учётной политикой несёт главный бухгалтер организации.</w:t>
      </w:r>
    </w:p>
    <w:p/>
    <w:p>
      <w:pPr>
        <w:jc w:val="both"/>
      </w:pPr>
      <w:r>
        <w:rPr>
          <w:rFonts w:ascii="Times New Roman" w:hAnsi="Times New Roman"/>
          <w:b/>
          <w:i w:val="0"/>
          <w:sz w:val="24"/>
        </w:rPr>
        <w:t>Приложения к учётной политике: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Приложение № 1а — Рабочий план счетов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Приложение № 1б — Самостоятельно разработанные формы первичных документов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Приложение № 2а — Регистры налогового учёта</w:t>
      </w:r>
    </w:p>
    <w:p>
      <w:pPr>
        <w:pStyle w:val="ListBullet"/>
        <w:jc w:val="both"/>
      </w:pPr>
      <w:r>
        <w:rPr>
          <w:rFonts w:ascii="Times New Roman" w:hAnsi="Times New Roman"/>
          <w:sz w:val="24"/>
        </w:rPr>
        <w:t>Приложение № 2б — Методика раздельного учёта НДС (при необходимости)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